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лекция 12</w:t>
      </w:r>
    </w:p>
    <w:p w:rsidR="00B14AF8" w:rsidRPr="004F2B7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4F2B78">
        <w:rPr>
          <w:rFonts w:ascii="Times New Roman" w:hAnsi="Times New Roman" w:cs="Times New Roman"/>
          <w:b/>
          <w:sz w:val="24"/>
          <w:szCs w:val="24"/>
          <w:lang w:eastAsia="ru-RU"/>
        </w:rPr>
        <w:t>Склады на цементобетонном заводе</w:t>
      </w:r>
    </w:p>
    <w:p w:rsidR="00B14AF8" w:rsidRPr="00F40BE0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F40BE0">
        <w:rPr>
          <w:rFonts w:ascii="Times New Roman" w:hAnsi="Times New Roman" w:cs="Times New Roman"/>
          <w:sz w:val="24"/>
          <w:szCs w:val="24"/>
          <w:lang w:eastAsia="ru-RU"/>
        </w:rPr>
        <w:t xml:space="preserve">Согласно СНиП, нормативные запасы на складах цементобетонных заводов принимают при дальнем расстоянии камнедробильного завода (1000 км) – </w:t>
      </w:r>
      <w:r w:rsidRPr="00F40BE0">
        <w:rPr>
          <w:rFonts w:ascii="Times New Roman" w:hAnsi="Times New Roman" w:cs="Times New Roman"/>
          <w:b/>
          <w:sz w:val="24"/>
          <w:szCs w:val="24"/>
          <w:lang w:eastAsia="ru-RU"/>
        </w:rPr>
        <w:t>30</w:t>
      </w:r>
      <w:r w:rsidRPr="00F40BE0">
        <w:rPr>
          <w:rFonts w:ascii="Times New Roman" w:hAnsi="Times New Roman" w:cs="Times New Roman"/>
          <w:sz w:val="24"/>
          <w:szCs w:val="24"/>
          <w:lang w:eastAsia="ru-RU"/>
        </w:rPr>
        <w:t xml:space="preserve">, среднем (500 км) – </w:t>
      </w:r>
      <w:r w:rsidRPr="00F40BE0">
        <w:rPr>
          <w:rFonts w:ascii="Times New Roman" w:hAnsi="Times New Roman" w:cs="Times New Roman"/>
          <w:b/>
          <w:sz w:val="24"/>
          <w:szCs w:val="24"/>
          <w:lang w:eastAsia="ru-RU"/>
        </w:rPr>
        <w:t>20</w:t>
      </w:r>
      <w:r w:rsidRPr="00F40BE0">
        <w:rPr>
          <w:rFonts w:ascii="Times New Roman" w:hAnsi="Times New Roman" w:cs="Times New Roman"/>
          <w:sz w:val="24"/>
          <w:szCs w:val="24"/>
          <w:lang w:eastAsia="ru-RU"/>
        </w:rPr>
        <w:t xml:space="preserve"> и близком (50...100 км) – </w:t>
      </w:r>
      <w:r w:rsidRPr="00F40BE0">
        <w:rPr>
          <w:rFonts w:ascii="Times New Roman" w:hAnsi="Times New Roman" w:cs="Times New Roman"/>
          <w:b/>
          <w:sz w:val="24"/>
          <w:szCs w:val="24"/>
          <w:lang w:eastAsia="ru-RU"/>
        </w:rPr>
        <w:t>8</w:t>
      </w:r>
      <w:r w:rsidRPr="00F40BE0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F40BE0">
        <w:rPr>
          <w:rFonts w:ascii="Times New Roman" w:hAnsi="Times New Roman" w:cs="Times New Roman"/>
          <w:b/>
          <w:sz w:val="24"/>
          <w:szCs w:val="24"/>
          <w:lang w:eastAsia="ru-RU"/>
        </w:rPr>
        <w:t>суток</w:t>
      </w:r>
      <w:r w:rsidRPr="00F40BE0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Доставку материалов на склад чаще всего осуществляют железнодорожным,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  <w:t>автомобильным и реже водным транспортом.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Распространенными типами складов щебня, гравия, песка являются эстакадно-траншейный, с бункерной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эстакадой:</w:t>
      </w:r>
    </w:p>
    <w:p w:rsidR="00B14AF8" w:rsidRPr="004F2B78" w:rsidRDefault="00B14AF8" w:rsidP="00B14AF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 xml:space="preserve">V = </w:t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Q</w:t>
      </w:r>
      <w:r w:rsidRPr="004F2B78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c</w:t>
      </w:r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·n</w:t>
      </w:r>
      <w:r w:rsidRPr="004F2B78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x</w:t>
      </w:r>
      <w:proofErr w:type="spellEnd"/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где </w:t>
      </w: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Q</w:t>
      </w:r>
      <w:r w:rsidRPr="004F2B78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c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– суточный расход материалов</w:t>
      </w:r>
      <w:r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proofErr w:type="spellStart"/>
      <w:r w:rsidRPr="004F2B78">
        <w:rPr>
          <w:rFonts w:ascii="Times New Roman" w:hAnsi="Times New Roman" w:cs="Times New Roman"/>
          <w:b/>
          <w:i/>
          <w:sz w:val="24"/>
          <w:szCs w:val="24"/>
          <w:lang w:eastAsia="ru-RU"/>
        </w:rPr>
        <w:t>n</w:t>
      </w:r>
      <w:r w:rsidRPr="004F2B78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x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нормативный запас хранения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Pr="0020256D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sz w:val="24"/>
          <w:szCs w:val="24"/>
          <w:lang w:eastAsia="ru-RU"/>
        </w:rPr>
        <w:t>Хранение цемента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Наиболее экономичным способом хранения цемента принято считать силосы.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Запас цемента на складе определяют по формуле:</w:t>
      </w:r>
    </w:p>
    <w:p w:rsidR="00B14AF8" w:rsidRDefault="00B14AF8" w:rsidP="00B14A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4AF8" w:rsidRPr="0020256D" w:rsidRDefault="00B14AF8" w:rsidP="00B14AF8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З = (Q·P·n·K</w:t>
      </w:r>
      <w:r w:rsidRPr="0020256D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1</w:t>
      </w: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)/(T·K</w:t>
      </w:r>
      <w:r w:rsidRPr="0020256D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2</w:t>
      </w: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)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где </w:t>
      </w: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Q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- годовой объем выпускаемой продукции бетоносмесительным цехом, м</w:t>
      </w:r>
      <w:r w:rsidRPr="0020256D"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Р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усредненный расход цемента на 1 м</w:t>
      </w:r>
      <w:r w:rsidRPr="0020256D">
        <w:rPr>
          <w:rFonts w:ascii="Times New Roman" w:hAnsi="Times New Roman" w:cs="Times New Roman"/>
          <w:sz w:val="24"/>
          <w:szCs w:val="24"/>
          <w:vertAlign w:val="superscript"/>
          <w:lang w:eastAsia="ru-RU"/>
        </w:rPr>
        <w:t>3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бетонной смеси, кг;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нормативный запас хранения цемента на складе, суток;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К</w:t>
      </w:r>
      <w:r w:rsidRPr="0020256D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1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коэффициент возможных потерь цемента (</w:t>
      </w: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К</w:t>
      </w:r>
      <w:r w:rsidRPr="0020256D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1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= 1,04);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Т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количество рабочих дней в году;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К</w:t>
      </w:r>
      <w:r w:rsidRPr="0020256D">
        <w:rPr>
          <w:rFonts w:ascii="Times New Roman" w:hAnsi="Times New Roman" w:cs="Times New Roman"/>
          <w:b/>
          <w:i/>
          <w:sz w:val="24"/>
          <w:szCs w:val="24"/>
          <w:vertAlign w:val="subscript"/>
          <w:lang w:eastAsia="ru-RU"/>
        </w:rPr>
        <w:t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коэффициент заполнения склада (0,85...0,95).</w:t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B14AF8" w:rsidRDefault="00B14AF8" w:rsidP="00B14AF8">
      <w:pPr>
        <w:spacing w:after="0" w:line="240" w:lineRule="auto"/>
        <w:ind w:left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Железнодорожный вагон-цементовоз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пневматической разгрузкой</w:t>
      </w:r>
    </w:p>
    <w:p w:rsidR="00B14AF8" w:rsidRDefault="00B14AF8" w:rsidP="00B14A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4514C90" wp14:editId="2DF31252">
            <wp:extent cx="3324225" cy="2362200"/>
            <wp:effectExtent l="0" t="0" r="9525" b="0"/>
            <wp:docPr id="9" name="Рисунок 8" descr="x4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Рисунок 8" descr="x498"/>
                    <pic:cNvPicPr/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42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аэролоток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 пористой перегородкой, 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смотровой люк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с крышкой; 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загрузочный патрубок, 4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цистерна; 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разгрузочный патрубок с дроссельным краном; 6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продувочная форсунка</w:t>
      </w:r>
    </w:p>
    <w:p w:rsidR="00B14AF8" w:rsidRDefault="00B14AF8" w:rsidP="00B14A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6" w:tgtFrame="_blank" w:history="1">
        <w:r w:rsidRPr="00DC299C">
          <w:rPr>
            <w:rFonts w:ascii="Times New Roman" w:hAnsi="Times New Roman" w:cs="Times New Roman"/>
            <w:sz w:val="24"/>
            <w:szCs w:val="24"/>
            <w:lang w:eastAsia="ru-RU"/>
          </w:rPr>
          <w:t>43.</w:t>
        </w:r>
      </w:hyperlink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sz w:val="24"/>
          <w:szCs w:val="24"/>
          <w:lang w:eastAsia="ru-RU"/>
        </w:rPr>
        <w:t>Особенности зимних работ на ЦБЗ</w:t>
      </w:r>
    </w:p>
    <w:p w:rsidR="00B14AF8" w:rsidRDefault="00B14AF8" w:rsidP="00B14AF8">
      <w:pPr>
        <w:pStyle w:val="a3"/>
        <w:ind w:left="0" w:firstLine="710"/>
        <w:jc w:val="both"/>
        <w:rPr>
          <w:sz w:val="24"/>
          <w:szCs w:val="24"/>
        </w:rPr>
      </w:pPr>
      <w:r w:rsidRPr="0024529E">
        <w:rPr>
          <w:sz w:val="24"/>
          <w:szCs w:val="24"/>
        </w:rPr>
        <w:t xml:space="preserve">Осенью и зимой ЦБЗ могут выпускать два вида смесей: </w:t>
      </w:r>
    </w:p>
    <w:p w:rsidR="00B14AF8" w:rsidRPr="0024529E" w:rsidRDefault="00B14AF8" w:rsidP="00B14AF8">
      <w:pPr>
        <w:pStyle w:val="a3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24529E">
        <w:rPr>
          <w:b/>
          <w:sz w:val="24"/>
          <w:szCs w:val="24"/>
        </w:rPr>
        <w:t>теплые, с предварительно подогретыми компонентами, укладываемые в конструкцию;</w:t>
      </w:r>
    </w:p>
    <w:p w:rsidR="00B14AF8" w:rsidRPr="0024529E" w:rsidRDefault="00B14AF8" w:rsidP="00B14AF8">
      <w:pPr>
        <w:pStyle w:val="a3"/>
        <w:numPr>
          <w:ilvl w:val="0"/>
          <w:numId w:val="1"/>
        </w:numPr>
        <w:jc w:val="both"/>
        <w:rPr>
          <w:b/>
          <w:sz w:val="24"/>
          <w:szCs w:val="24"/>
        </w:rPr>
      </w:pPr>
      <w:r w:rsidRPr="0024529E">
        <w:rPr>
          <w:b/>
          <w:sz w:val="24"/>
          <w:szCs w:val="24"/>
        </w:rPr>
        <w:t>холодные, укладываемые без подогрева.</w:t>
      </w:r>
    </w:p>
    <w:p w:rsidR="00B14AF8" w:rsidRDefault="00B14AF8" w:rsidP="00B14AF8">
      <w:pPr>
        <w:pStyle w:val="a3"/>
        <w:ind w:left="0" w:firstLine="710"/>
        <w:jc w:val="both"/>
        <w:rPr>
          <w:sz w:val="24"/>
          <w:szCs w:val="24"/>
        </w:rPr>
      </w:pPr>
      <w:r w:rsidRPr="0024529E">
        <w:rPr>
          <w:sz w:val="24"/>
          <w:szCs w:val="24"/>
        </w:rPr>
        <w:t>При приготовлении смесей в зимний период к ним предъявляется ряд требований:</w:t>
      </w:r>
    </w:p>
    <w:p w:rsidR="00B14AF8" w:rsidRPr="0024529E" w:rsidRDefault="00B14AF8" w:rsidP="00B14AF8">
      <w:pPr>
        <w:pStyle w:val="a3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24529E">
        <w:rPr>
          <w:b/>
          <w:sz w:val="24"/>
          <w:szCs w:val="24"/>
        </w:rPr>
        <w:t xml:space="preserve">физико-механические свойства таких смесей должны быть не ниже </w:t>
      </w:r>
      <w:r w:rsidRPr="0024529E">
        <w:rPr>
          <w:b/>
          <w:sz w:val="24"/>
          <w:szCs w:val="24"/>
        </w:rPr>
        <w:lastRenderedPageBreak/>
        <w:t xml:space="preserve">приготовленных в теплый период; </w:t>
      </w:r>
    </w:p>
    <w:p w:rsidR="00B14AF8" w:rsidRPr="0024529E" w:rsidRDefault="00B14AF8" w:rsidP="00B14AF8">
      <w:pPr>
        <w:pStyle w:val="a3"/>
        <w:numPr>
          <w:ilvl w:val="0"/>
          <w:numId w:val="2"/>
        </w:numPr>
        <w:jc w:val="both"/>
        <w:rPr>
          <w:b/>
          <w:sz w:val="24"/>
          <w:szCs w:val="24"/>
        </w:rPr>
      </w:pPr>
      <w:r w:rsidRPr="0024529E">
        <w:rPr>
          <w:b/>
          <w:sz w:val="24"/>
          <w:szCs w:val="24"/>
        </w:rPr>
        <w:t>смеси должны иметь повышенную скорость твердения и пониженную температуру замерзания, а также, по возможности, положительную</w:t>
      </w:r>
      <w:r w:rsidRPr="0024529E">
        <w:rPr>
          <w:b/>
          <w:spacing w:val="3"/>
          <w:sz w:val="24"/>
          <w:szCs w:val="24"/>
        </w:rPr>
        <w:t xml:space="preserve"> </w:t>
      </w:r>
      <w:r w:rsidRPr="0024529E">
        <w:rPr>
          <w:b/>
          <w:sz w:val="24"/>
          <w:szCs w:val="24"/>
        </w:rPr>
        <w:t>температуру.</w:t>
      </w:r>
    </w:p>
    <w:p w:rsidR="00B14AF8" w:rsidRPr="0024529E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4529E">
        <w:rPr>
          <w:rFonts w:ascii="Times New Roman" w:hAnsi="Times New Roman" w:cs="Times New Roman"/>
          <w:sz w:val="24"/>
          <w:szCs w:val="24"/>
        </w:rPr>
        <w:t>Приготовление теплых смесей на ЦБЗ основано на следующем принципе: смесь должна иметь более высокую температуру, при которой еще сохраняется требуемый срок схватывания.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Зимой бетонная смесь отпускается с завода с повышенной температурой.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Наибольшая температура смеси и ее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составляющих зависит от вида цемента.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960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491"/>
        <w:gridCol w:w="2354"/>
        <w:gridCol w:w="2375"/>
        <w:gridCol w:w="2380"/>
      </w:tblGrid>
      <w:tr w:rsidR="00B14AF8" w:rsidRPr="0020256D" w:rsidTr="00EA4AD4">
        <w:trPr>
          <w:trHeight w:val="584"/>
        </w:trPr>
        <w:tc>
          <w:tcPr>
            <w:tcW w:w="240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Марка цемента</w:t>
            </w:r>
          </w:p>
        </w:tc>
        <w:tc>
          <w:tcPr>
            <w:tcW w:w="4800" w:type="dxa"/>
            <w:gridSpan w:val="2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Температура при загрузке, </w:t>
            </w:r>
            <w:r w:rsidRPr="0020256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°C</w:t>
            </w:r>
          </w:p>
        </w:tc>
        <w:tc>
          <w:tcPr>
            <w:tcW w:w="2400" w:type="dxa"/>
            <w:vMerge w:val="restart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4F81BD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Температура смеси, </w:t>
            </w:r>
            <w:r w:rsidRPr="0020256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 w:eastAsia="ru-RU"/>
              </w:rPr>
              <w:t>°C</w:t>
            </w:r>
          </w:p>
        </w:tc>
      </w:tr>
      <w:tr w:rsidR="00B14AF8" w:rsidRPr="0020256D" w:rsidTr="00EA4AD4">
        <w:trPr>
          <w:trHeight w:val="584"/>
        </w:trPr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single" w:sz="24" w:space="0" w:color="FFFFFF"/>
              <w:left w:val="single" w:sz="24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вода</w:t>
            </w:r>
          </w:p>
        </w:tc>
        <w:tc>
          <w:tcPr>
            <w:tcW w:w="2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24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заполнитель</w:t>
            </w:r>
          </w:p>
        </w:tc>
        <w:tc>
          <w:tcPr>
            <w:tcW w:w="0" w:type="auto"/>
            <w:vMerge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vAlign w:val="center"/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14AF8" w:rsidRPr="0020256D" w:rsidTr="00EA4AD4">
        <w:trPr>
          <w:trHeight w:val="584"/>
        </w:trPr>
        <w:tc>
          <w:tcPr>
            <w:tcW w:w="2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мягкопортландцемент</w:t>
            </w:r>
            <w:proofErr w:type="spellEnd"/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0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9EDF4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B14AF8" w:rsidRPr="0020256D" w:rsidTr="00EA4AD4">
        <w:trPr>
          <w:trHeight w:val="584"/>
        </w:trPr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портландцемент</w:t>
            </w: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40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0D8E8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B14AF8" w:rsidRPr="0020256D" w:rsidRDefault="00B14AF8" w:rsidP="00EA4AD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20256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B14AF8" w:rsidRDefault="00B14AF8" w:rsidP="00B14AF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4AF8" w:rsidRPr="0020256D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перемешивания зимой увеличиваются ~ в 1,5 против летних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условий. Помещение ЦБЗ для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работы зимой утепляют. Температура в помещении должна быть не ниже 10-15 °C. Особо сложной является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разгрузка вагонов и размораживание заполнителей. Для этого применяются различные приспособления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оборудование: </w:t>
      </w:r>
      <w:r w:rsidRPr="0020256D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инфракрасные панели излучения, бурорыхлительные машины, вибраторы и т.д.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4AF8" w:rsidRPr="0020256D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20256D">
        <w:rPr>
          <w:rFonts w:ascii="Times New Roman" w:hAnsi="Times New Roman" w:cs="Times New Roman"/>
          <w:b/>
          <w:sz w:val="24"/>
          <w:szCs w:val="24"/>
          <w:lang w:eastAsia="ru-RU"/>
        </w:rPr>
        <w:t>Особенности работы на ЦБЗ в условиях повышенной температуры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В жаркую погоду, особенно если длительность транспортировки смеси превышает 30 минут, температура смеси,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отправляемой с ЦБЗ не должна превышать 20…25°C. Воду используют из прохладительных источников, хранят ее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холодном состоянии при теплоизоляции труб и резервуаров.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Бетоносмесительные установки размещают в закрытых помещениях. На открытом воздухе установки окрашивают 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светлые тона, защищают навесами от солнца.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Автотранспортные средства для перевозки бетонной смеси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окрашивают в белый или алюминиевый цвет. Кузова автомобилей-самосвалов следует покрывать светлым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брезентом, обрызгивая водой перед отправкой с ЦБЗ.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При приготовлении бетонной смеси в условиях жаркого климата необходимо обеспечить следующую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последовательность подачи компонентов смеси в барабан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бетоносмесителя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>. Сначала заливают воду, после подачи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10-20 % от общей потребности на замес загружают щебень и цемент, не прерывая подачу остальной воды. После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перемешивания материалов в течение 10-15 сек в барабан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бетоносмесителя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подают песок, продолжая процесс до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получения однородной массы.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84B6B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Пример компоновки генерального плана прирельсового цементобетонного завода</w:t>
      </w:r>
    </w:p>
    <w:p w:rsidR="00B14AF8" w:rsidRDefault="00B14AF8" w:rsidP="00B14AF8">
      <w:pPr>
        <w:spacing w:after="0" w:line="240" w:lineRule="auto"/>
        <w:ind w:firstLine="708"/>
        <w:jc w:val="right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84B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1129DBE" wp14:editId="223A6694">
            <wp:extent cx="755526" cy="766911"/>
            <wp:effectExtent l="0" t="0" r="6985" b="0"/>
            <wp:docPr id="3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Рисунок 2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526" cy="766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AF8" w:rsidRPr="00B84B6B" w:rsidRDefault="00B14AF8" w:rsidP="00B14A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84B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357E0C77" wp14:editId="3FB0FCC2">
            <wp:extent cx="5940425" cy="2533015"/>
            <wp:effectExtent l="0" t="0" r="3175" b="635"/>
            <wp:docPr id="93186" name="Рисунок 3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86" name="Рисунок 33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533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склад каменных материалов; 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отделение подачи каменных материалов; 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отделение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грохочения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песка; 4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бетоносмесительное отделение; 5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подрельсовый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бункер;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6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компрессорная установка; 7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склад цемента; 8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хранилище пленкообразующих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материалов; 9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трансформаторная подстанция; 10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отделение для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приготовления водных растворов добавок; 11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резервуары для запаса воды; 12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склад нефтепродуктов; 13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котельная; 14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канализационные очистные сооружения; 15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туалет; 16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площадка для открытых ремонтных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работ; 17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материально-технический склад; 18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артезианские скважины; 19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ремонтно-механическая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мастерская; 20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столовая; 21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контора с лабораторией; 22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разгрузочная рампа; 23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весовая, 24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битумохранилище</w:t>
      </w:r>
      <w:proofErr w:type="spellEnd"/>
    </w:p>
    <w:p w:rsidR="00B14AF8" w:rsidRDefault="00B14AF8" w:rsidP="00B14AF8">
      <w:pPr>
        <w:spacing w:after="0" w:line="240" w:lineRule="auto"/>
        <w:ind w:firstLine="708"/>
        <w:jc w:val="both"/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84B6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Пример компоновки генерального плана </w:t>
      </w:r>
      <w:proofErr w:type="spellStart"/>
      <w:r w:rsidRPr="00B84B6B">
        <w:rPr>
          <w:rFonts w:ascii="Times New Roman" w:hAnsi="Times New Roman" w:cs="Times New Roman"/>
          <w:b/>
          <w:sz w:val="24"/>
          <w:szCs w:val="24"/>
          <w:lang w:eastAsia="ru-RU"/>
        </w:rPr>
        <w:t>притрассового</w:t>
      </w:r>
      <w:proofErr w:type="spellEnd"/>
      <w:r w:rsidRPr="00B84B6B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цементобетонного завода</w:t>
      </w:r>
    </w:p>
    <w:p w:rsidR="00B14AF8" w:rsidRDefault="00B14AF8" w:rsidP="00B14AF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84B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03DD7BEB" wp14:editId="62E786E3">
            <wp:extent cx="720080" cy="720080"/>
            <wp:effectExtent l="0" t="0" r="4445" b="4445"/>
            <wp:docPr id="2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1"/>
                    <pic:cNvPicPr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80" cy="720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14AF8" w:rsidRPr="00B84B6B" w:rsidRDefault="00B14AF8" w:rsidP="00B14AF8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0" w:name="_GoBack"/>
      <w:r w:rsidRPr="00B84B6B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672EAC39" wp14:editId="0491E6EB">
            <wp:extent cx="3768725" cy="2590800"/>
            <wp:effectExtent l="0" t="0" r="3175" b="0"/>
            <wp:docPr id="94210" name="Рисунок 3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210" name="Рисунок 33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9201" cy="2591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End w:id="0"/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склад каменных материалов;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отделение подачи каменных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материалов;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бетоносмесительное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отделение;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4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компрессорная установка;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5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склад цемента;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6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отделение для приготовления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водных растворов добавок;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7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резервуары для запаса воды;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8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трансформаторная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подстанция;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9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хранилище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пленкообразующих материалов;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10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навес для тарного хранения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материалов;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11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склад нефтепродуктов;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12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котельная;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13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ремонтно-механическая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мастерская;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14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площадка для открытых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ремонтных работ;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15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туалет; 16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столовая;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17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контора с лабораторией; 18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–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бытовые помещения;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19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весовая с автомобильными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весами</w:t>
      </w:r>
    </w:p>
    <w:p w:rsidR="00B14AF8" w:rsidRPr="00DC299C" w:rsidRDefault="00B14AF8" w:rsidP="00B14A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10" w:tgtFrame="_blank" w:history="1">
        <w:r w:rsidRPr="00DC299C">
          <w:rPr>
            <w:rFonts w:ascii="Times New Roman" w:hAnsi="Times New Roman" w:cs="Times New Roman"/>
            <w:sz w:val="24"/>
            <w:szCs w:val="24"/>
            <w:lang w:eastAsia="ru-RU"/>
          </w:rPr>
          <w:t>46.</w:t>
        </w:r>
      </w:hyperlink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11F8">
        <w:rPr>
          <w:rFonts w:ascii="Times New Roman" w:hAnsi="Times New Roman" w:cs="Times New Roman"/>
          <w:b/>
          <w:sz w:val="24"/>
          <w:szCs w:val="24"/>
          <w:lang w:eastAsia="ru-RU"/>
        </w:rPr>
        <w:t>Контроль качества цементобетонной смеси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Погрешность взвешивания на дозаторах не должна превышать 1 % для цемента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воды и 2 % для щебня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(гравия) и </w:t>
      </w:r>
      <w:r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еска. 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Контроль правильности дозирования компонентов бетонной смеси на большинстве заводов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обеспечивается применением автоматизированных дозаторов, имеющих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устройства для сигнализации при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нарушении заданного режима. Погрешность взвешивания дозаторами непрерывного действия проверяют 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пробах, отобранных в течение 30 с непрерывной работы.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Продолжительность перемешивания контролируют по специальным часам или регламентируют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автоматическими приборами (40...60 с в смесителях принудительного действия и 60...120 с в смесителях со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свободным перемешиванием).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Влажность заполнителей рассчитывают, высушивая пробы до постоянной массы не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реже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одного раза в месяц, 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при получении новых партий и после выпадения осадков определяют дополнительно. Пробы берут послойно не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реже чем через 2 м по высоте штабеля.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Зерновой состав проверяют, просеивая отобранные пробы через набор сит не реже одного раза в сутки и, кроме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того, каждый раз, когда начинают использовать материал новой партии.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Подвижность или жесткость бетонной смеси проверяют путем испытания проб приготовленной смеси,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отбираемых при выгрузке ее из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бетоносмесителя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>. Причем пробы при выгрузке бетонной смеси из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бетоносмесителей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цикличного действия отбирают в три приема: в начале, середине и конце разгрузки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бетоносмесителя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, а из </w:t>
      </w:r>
      <w:proofErr w:type="spellStart"/>
      <w:r w:rsidRPr="00DC299C">
        <w:rPr>
          <w:rFonts w:ascii="Times New Roman" w:hAnsi="Times New Roman" w:cs="Times New Roman"/>
          <w:sz w:val="24"/>
          <w:szCs w:val="24"/>
          <w:lang w:eastAsia="ru-RU"/>
        </w:rPr>
        <w:t>бетоносмесителей</w:t>
      </w:r>
      <w:proofErr w:type="spellEnd"/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непрерывного действия - в три приема с промежутками в минуту.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Подвижность или жесткость бетонной смеси определяют не менее двух раз в смену при установившейся погоде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и постоянной влажности заполнителей и не реже чем через 2 ч при резком изменении влажности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заполнителей, а также при переходе на новый состав смеси или новую партию того или иного материала.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Качество готовой продукции, марку бетона устанавливают испытанием кубов, а прочность при изгибе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определяют путем испытания бетонных балок, морозоустойчивость </w:t>
      </w:r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 xml:space="preserve"> путем попеременного замораживания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оттаивания бетонных кубов.</w:t>
      </w:r>
    </w:p>
    <w:p w:rsidR="00B14AF8" w:rsidRDefault="00B14AF8" w:rsidP="00B14AF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hyperlink r:id="rId11" w:tgtFrame="_blank" w:history="1">
        <w:r w:rsidRPr="00DC299C">
          <w:rPr>
            <w:rFonts w:ascii="Times New Roman" w:hAnsi="Times New Roman" w:cs="Times New Roman"/>
            <w:sz w:val="24"/>
            <w:szCs w:val="24"/>
            <w:lang w:eastAsia="ru-RU"/>
          </w:rPr>
          <w:t>47.</w:t>
        </w:r>
      </w:hyperlink>
    </w:p>
    <w:p w:rsidR="00B14AF8" w:rsidRPr="005111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11F8">
        <w:rPr>
          <w:rFonts w:ascii="Times New Roman" w:hAnsi="Times New Roman" w:cs="Times New Roman"/>
          <w:b/>
          <w:sz w:val="24"/>
          <w:szCs w:val="24"/>
          <w:lang w:eastAsia="ru-RU"/>
        </w:rPr>
        <w:t>Охрана труда и противопожарная защита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Проезды и переходы должны иметь твердое дорожное покрытие и водостоки и освещаться в ночное время. Для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подъема рабочих к машинам установок устраивают прочные лестницы с перилами высотой 1 м., ширина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эстакады допускает свободный проход не менее 0,8 м, огражденный с обеих сторон.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Очистку и ремонтные работы на эстакаде производят только при прекращении движения транспортирующих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средств. Ремонт машин и оборудования производят при выключенных двигателях.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Закрытые помещения, где возможно образование пыли должны иметь надежную вентиляцию. В таких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помещениях не реже одного раза в месяц проводится исследование воздушной среды.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Трубопроводы для пара и горячей воды во избежание ожогов располагают не ниже 2,5м от уровня пола.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При приготовлении смесей с химическими добавками соблюдают меры предосторожности против ожогов,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повреждений и отравления.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Пуск машин ЦБЗ без предупредительных сигналов не разрешается. В цехах или непосредственно у рабочего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места машин вывешивают инструкции о порядке пуска и остановки двигателей, сигнализации.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11F8">
        <w:rPr>
          <w:rFonts w:ascii="Times New Roman" w:hAnsi="Times New Roman" w:cs="Times New Roman"/>
          <w:b/>
          <w:sz w:val="24"/>
          <w:szCs w:val="24"/>
          <w:lang w:eastAsia="ru-RU"/>
        </w:rPr>
        <w:t>Противопожарная защита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Наиболее пожароопасными являются склады топлива, масел, горючих добавок и др.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Для тушения используют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химическую и воздушно-механическую пену, средства первичного пожаротушения – огнетушители, песок, воду и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т.п.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Химическая пена – 80% углекислого газа и около 20% воды – универсальное средство тушения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легковоспламеняющихся и горючих жидкостей.</w:t>
      </w:r>
    </w:p>
    <w:p w:rsidR="00B14AF8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t>Помещения и площадки для стоянки машин хранилища топлива, раздаточные колонки и т.п. обеспечивают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дополнительно с ящиком с сухим песком, войлочным или асбестовым покрывалом в соответствии 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C299C">
        <w:rPr>
          <w:rFonts w:ascii="Times New Roman" w:hAnsi="Times New Roman" w:cs="Times New Roman"/>
          <w:sz w:val="24"/>
          <w:szCs w:val="24"/>
          <w:lang w:eastAsia="ru-RU"/>
        </w:rPr>
        <w:t>действующими нормами.</w:t>
      </w:r>
    </w:p>
    <w:p w:rsidR="00B14AF8" w:rsidRPr="00DC299C" w:rsidRDefault="00B14AF8" w:rsidP="00B14AF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C299C">
        <w:rPr>
          <w:rFonts w:ascii="Times New Roman" w:hAnsi="Times New Roman" w:cs="Times New Roman"/>
          <w:sz w:val="24"/>
          <w:szCs w:val="24"/>
          <w:lang w:eastAsia="ru-RU"/>
        </w:rPr>
        <w:br/>
      </w:r>
    </w:p>
    <w:p w:rsidR="00D21695" w:rsidRDefault="00D21695"/>
    <w:sectPr w:rsidR="00D216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80A2510"/>
    <w:multiLevelType w:val="hybridMultilevel"/>
    <w:tmpl w:val="153E2DF0"/>
    <w:lvl w:ilvl="0" w:tplc="0419000F">
      <w:start w:val="1"/>
      <w:numFmt w:val="decimal"/>
      <w:lvlText w:val="%1."/>
      <w:lvlJc w:val="left"/>
      <w:pPr>
        <w:ind w:left="1430" w:hanging="360"/>
      </w:p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" w15:restartNumberingAfterBreak="0">
    <w:nsid w:val="6D6E74BC"/>
    <w:multiLevelType w:val="hybridMultilevel"/>
    <w:tmpl w:val="498263F4"/>
    <w:lvl w:ilvl="0" w:tplc="9BA6AB7A">
      <w:start w:val="1"/>
      <w:numFmt w:val="bullet"/>
      <w:lvlText w:val=""/>
      <w:lvlJc w:val="left"/>
      <w:pPr>
        <w:ind w:left="14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02E"/>
    <w:rsid w:val="00B14AF8"/>
    <w:rsid w:val="00D21695"/>
    <w:rsid w:val="00FA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755FA3"/>
  <w15:chartTrackingRefBased/>
  <w15:docId w15:val="{D25B9BB1-B221-467A-B63D-7093A525F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4A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B14AF8"/>
    <w:pPr>
      <w:widowControl w:val="0"/>
      <w:autoSpaceDE w:val="0"/>
      <w:autoSpaceDN w:val="0"/>
      <w:spacing w:after="0" w:line="240" w:lineRule="auto"/>
      <w:ind w:left="215"/>
    </w:pPr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character" w:customStyle="1" w:styleId="a4">
    <w:name w:val="Основной текст Знак"/>
    <w:basedOn w:val="a0"/>
    <w:link w:val="a3"/>
    <w:uiPriority w:val="1"/>
    <w:rsid w:val="00B14AF8"/>
    <w:rPr>
      <w:rFonts w:ascii="Times New Roman" w:eastAsia="Times New Roman" w:hAnsi="Times New Roman" w:cs="Times New Roman"/>
      <w:sz w:val="28"/>
      <w:szCs w:val="28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f.ppt-online.org/files2/slide/d/do7JYypaP0lSDNjAr2fsHeFuObxEk4Bz6ZgtwW5c3/slide-42.jpg" TargetMode="External"/><Relationship Id="rId11" Type="http://schemas.openxmlformats.org/officeDocument/2006/relationships/hyperlink" Target="https://cf.ppt-online.org/files2/slide/d/do7JYypaP0lSDNjAr2fsHeFuObxEk4Bz6ZgtwW5c3/slide-46.jpg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s://cf.ppt-online.org/files2/slide/d/do7JYypaP0lSDNjAr2fsHeFuObxEk4Bz6ZgtwW5c3/slide-45.jpg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1391</Words>
  <Characters>7932</Characters>
  <Application>Microsoft Office Word</Application>
  <DocSecurity>0</DocSecurity>
  <Lines>66</Lines>
  <Paragraphs>18</Paragraphs>
  <ScaleCrop>false</ScaleCrop>
  <Company/>
  <LinksUpToDate>false</LinksUpToDate>
  <CharactersWithSpaces>9305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2019-09-23T08:18:00Z</dcterms:created>
  <dcterms:modified xsi:type="dcterms:W3CDTF">2019-09-23T08:18:00Z</dcterms:modified>
</cp:coreProperties>
</file>